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3F" w:rsidRPr="007740D9" w:rsidRDefault="005906D7" w:rsidP="00A36542">
      <w:pPr>
        <w:pStyle w:val="Heading1"/>
        <w:spacing w:before="0" w:line="276" w:lineRule="auto"/>
        <w:rPr>
          <w:rFonts w:cs="Arial"/>
          <w:sz w:val="22"/>
          <w:szCs w:val="22"/>
        </w:rPr>
      </w:pPr>
      <w:bookmarkStart w:id="0" w:name="_Toc295917021"/>
      <w:r w:rsidRPr="007740D9">
        <w:rPr>
          <w:rFonts w:cs="Arial"/>
          <w:sz w:val="22"/>
          <w:szCs w:val="22"/>
        </w:rPr>
        <w:t>Authorship of Manuscripts</w:t>
      </w:r>
      <w:bookmarkEnd w:id="0"/>
      <w:r w:rsidR="00A36542" w:rsidRPr="007740D9">
        <w:rPr>
          <w:rFonts w:cs="Arial"/>
          <w:sz w:val="22"/>
          <w:szCs w:val="22"/>
        </w:rPr>
        <w:t>*</w:t>
      </w:r>
    </w:p>
    <w:p w:rsidR="00E80C3F" w:rsidRPr="007740D9" w:rsidRDefault="00E80C3F" w:rsidP="00E80C3F">
      <w:pPr>
        <w:spacing w:after="0"/>
        <w:rPr>
          <w:rFonts w:ascii="Arial" w:hAnsi="Arial" w:cs="Arial"/>
          <w:lang w:eastAsia="en-US"/>
        </w:rPr>
      </w:pPr>
    </w:p>
    <w:p w:rsidR="00E80C3F" w:rsidRPr="007740D9" w:rsidRDefault="007740D9" w:rsidP="00E80C3F">
      <w:pPr>
        <w:rPr>
          <w:rFonts w:ascii="Arial" w:hAnsi="Arial" w:cs="Arial"/>
        </w:rPr>
      </w:pPr>
      <w:r w:rsidRPr="007740D9">
        <w:rPr>
          <w:rFonts w:ascii="Arial" w:hAnsi="Arial" w:cs="Arial"/>
        </w:rPr>
        <w:t>PRIM-ER</w:t>
      </w:r>
      <w:r w:rsidR="00E80C3F" w:rsidRPr="007740D9">
        <w:rPr>
          <w:rFonts w:ascii="Arial" w:hAnsi="Arial" w:cs="Arial"/>
        </w:rPr>
        <w:t xml:space="preserve"> team members should participate in the writing of the paper according to the guidelines of the International Committee of Medical Journal Editors (ICMJE; see below).  Those who participated in conception and design, analysis and interpretation of data, drafting of the manuscript, critical revision of the manuscript relating to important intellectual content, and final approval of the manuscript should be included as authors.</w:t>
      </w:r>
    </w:p>
    <w:p w:rsidR="00E80C3F" w:rsidRPr="007740D9" w:rsidRDefault="00E80C3F" w:rsidP="00E80C3F">
      <w:pPr>
        <w:rPr>
          <w:rFonts w:ascii="Arial" w:hAnsi="Arial" w:cs="Arial"/>
        </w:rPr>
      </w:pPr>
      <w:r w:rsidRPr="007740D9">
        <w:rPr>
          <w:rFonts w:ascii="Arial" w:hAnsi="Arial" w:cs="Arial"/>
        </w:rPr>
        <w:t xml:space="preserve">Provision of study material or patients; collection and assembly of data; provision of administrative, technical, or logistic support; and obtaining funding do not necessarily merit authorship but should be considered on a case-by-case basis, especially when other contributions are included.  </w:t>
      </w:r>
    </w:p>
    <w:p w:rsidR="00E80C3F" w:rsidRPr="007740D9" w:rsidRDefault="00E80C3F" w:rsidP="00E80C3F">
      <w:pPr>
        <w:rPr>
          <w:rFonts w:ascii="Arial" w:hAnsi="Arial" w:cs="Arial"/>
        </w:rPr>
      </w:pPr>
      <w:r w:rsidRPr="007740D9">
        <w:rPr>
          <w:rFonts w:ascii="Arial" w:hAnsi="Arial" w:cs="Arial"/>
        </w:rPr>
        <w:t>Honorary authorship may be considered.</w:t>
      </w:r>
    </w:p>
    <w:p w:rsidR="00E80C3F" w:rsidRPr="007740D9" w:rsidRDefault="00E80C3F" w:rsidP="00E80C3F">
      <w:pPr>
        <w:rPr>
          <w:rFonts w:ascii="Arial" w:hAnsi="Arial" w:cs="Arial"/>
        </w:rPr>
      </w:pPr>
      <w:r w:rsidRPr="007740D9">
        <w:rPr>
          <w:rFonts w:ascii="Arial" w:hAnsi="Arial" w:cs="Arial"/>
        </w:rPr>
        <w:t>The Primary PI will oversee the assignment of authorship to ensure that recognition of authorship is distributed fairly among study investigators and not dominated by any one investigator or study center.</w:t>
      </w:r>
    </w:p>
    <w:p w:rsidR="00E80C3F" w:rsidRPr="007740D9" w:rsidRDefault="00E80C3F" w:rsidP="00E80C3F">
      <w:pPr>
        <w:pStyle w:val="Heading2"/>
        <w:rPr>
          <w:rFonts w:ascii="Arial" w:hAnsi="Arial" w:cs="Arial"/>
          <w:color w:val="auto"/>
          <w:sz w:val="22"/>
          <w:szCs w:val="22"/>
        </w:rPr>
      </w:pPr>
      <w:bookmarkStart w:id="1" w:name="_Toc295917022"/>
      <w:r w:rsidRPr="007740D9">
        <w:rPr>
          <w:rFonts w:ascii="Arial" w:hAnsi="Arial" w:cs="Arial"/>
          <w:color w:val="auto"/>
          <w:sz w:val="22"/>
          <w:szCs w:val="22"/>
        </w:rPr>
        <w:t>Authorship</w:t>
      </w:r>
      <w:bookmarkEnd w:id="1"/>
    </w:p>
    <w:p w:rsidR="00E80C3F" w:rsidRPr="007740D9" w:rsidRDefault="00E80C3F" w:rsidP="00E80C3F">
      <w:pPr>
        <w:numPr>
          <w:ilvl w:val="0"/>
          <w:numId w:val="3"/>
        </w:numPr>
        <w:spacing w:after="0"/>
        <w:rPr>
          <w:rFonts w:ascii="Arial" w:hAnsi="Arial" w:cs="Arial"/>
        </w:rPr>
      </w:pPr>
      <w:r w:rsidRPr="007740D9">
        <w:rPr>
          <w:rFonts w:ascii="Arial" w:hAnsi="Arial" w:cs="Arial"/>
        </w:rPr>
        <w:t xml:space="preserve">Order of authorship shall be determined by the PM and approved by the PI.  </w:t>
      </w:r>
    </w:p>
    <w:p w:rsidR="00E80C3F" w:rsidRPr="007740D9" w:rsidRDefault="00E80C3F" w:rsidP="00E80C3F">
      <w:pPr>
        <w:numPr>
          <w:ilvl w:val="0"/>
          <w:numId w:val="3"/>
        </w:numPr>
        <w:spacing w:after="0"/>
        <w:rPr>
          <w:rFonts w:ascii="Arial" w:hAnsi="Arial" w:cs="Arial"/>
        </w:rPr>
      </w:pPr>
      <w:r w:rsidRPr="007740D9">
        <w:rPr>
          <w:rFonts w:ascii="Arial" w:hAnsi="Arial" w:cs="Arial"/>
        </w:rPr>
        <w:t xml:space="preserve">All persons eligible for authorship according to the guidelines of the ICJME will be listed on the journal title page with the designation that these authors are writing on behalf of the </w:t>
      </w:r>
      <w:r w:rsidR="007740D9" w:rsidRPr="007740D9">
        <w:rPr>
          <w:rFonts w:ascii="Arial" w:hAnsi="Arial" w:cs="Arial"/>
        </w:rPr>
        <w:t xml:space="preserve">PRIM-ER </w:t>
      </w:r>
      <w:r w:rsidRPr="007740D9">
        <w:rPr>
          <w:rFonts w:ascii="Arial" w:hAnsi="Arial" w:cs="Arial"/>
        </w:rPr>
        <w:t xml:space="preserve">investigators, indicated by including the tag line “and the </w:t>
      </w:r>
      <w:r w:rsidR="007740D9" w:rsidRPr="007740D9">
        <w:rPr>
          <w:rFonts w:ascii="Arial" w:hAnsi="Arial" w:cs="Arial"/>
        </w:rPr>
        <w:t>PRIM-ER</w:t>
      </w:r>
      <w:r w:rsidRPr="007740D9">
        <w:rPr>
          <w:rFonts w:ascii="Arial" w:hAnsi="Arial" w:cs="Arial"/>
        </w:rPr>
        <w:t xml:space="preserve"> Investigators” at the end of the author list.</w:t>
      </w:r>
    </w:p>
    <w:p w:rsidR="00E80C3F" w:rsidRPr="007740D9" w:rsidRDefault="00E80C3F" w:rsidP="00E80C3F">
      <w:pPr>
        <w:numPr>
          <w:ilvl w:val="0"/>
          <w:numId w:val="3"/>
        </w:numPr>
        <w:spacing w:after="0"/>
        <w:rPr>
          <w:rFonts w:ascii="Arial" w:hAnsi="Arial" w:cs="Arial"/>
        </w:rPr>
      </w:pPr>
      <w:r w:rsidRPr="007740D9">
        <w:rPr>
          <w:rFonts w:ascii="Arial" w:hAnsi="Arial" w:cs="Arial"/>
        </w:rPr>
        <w:t xml:space="preserve">For journals that limit the number of journal title page authors, manuscripts </w:t>
      </w:r>
      <w:proofErr w:type="gramStart"/>
      <w:r w:rsidRPr="007740D9">
        <w:rPr>
          <w:rFonts w:ascii="Arial" w:hAnsi="Arial" w:cs="Arial"/>
        </w:rPr>
        <w:t>will be authored</w:t>
      </w:r>
      <w:proofErr w:type="gramEnd"/>
      <w:r w:rsidRPr="007740D9">
        <w:rPr>
          <w:rFonts w:ascii="Arial" w:hAnsi="Arial" w:cs="Arial"/>
        </w:rPr>
        <w:t xml:space="preserve"> under the byline “</w:t>
      </w:r>
      <w:r w:rsidR="007740D9" w:rsidRPr="007740D9">
        <w:rPr>
          <w:rFonts w:ascii="Arial" w:hAnsi="Arial" w:cs="Arial"/>
        </w:rPr>
        <w:t>PRIM-ER</w:t>
      </w:r>
      <w:r w:rsidRPr="007740D9">
        <w:rPr>
          <w:rFonts w:ascii="Arial" w:hAnsi="Arial" w:cs="Arial"/>
        </w:rPr>
        <w:t xml:space="preserve"> Investigators.”  In this case the Writing Group will be listed in the appendix in the order as determined by the PM and approved by the PI.</w:t>
      </w:r>
    </w:p>
    <w:p w:rsidR="00E80C3F" w:rsidRPr="007740D9" w:rsidRDefault="00E80C3F" w:rsidP="00E80C3F">
      <w:pPr>
        <w:numPr>
          <w:ilvl w:val="0"/>
          <w:numId w:val="3"/>
        </w:numPr>
        <w:spacing w:after="0"/>
        <w:rPr>
          <w:rFonts w:ascii="Arial" w:hAnsi="Arial" w:cs="Arial"/>
        </w:rPr>
      </w:pPr>
      <w:r w:rsidRPr="007740D9">
        <w:rPr>
          <w:rFonts w:ascii="Arial" w:hAnsi="Arial" w:cs="Arial"/>
        </w:rPr>
        <w:t>Persons who have contributed to the completion of the study</w:t>
      </w:r>
      <w:r w:rsidR="008D7DD7" w:rsidRPr="007740D9">
        <w:rPr>
          <w:rFonts w:ascii="Arial" w:hAnsi="Arial" w:cs="Arial"/>
        </w:rPr>
        <w:t>,</w:t>
      </w:r>
      <w:r w:rsidRPr="007740D9">
        <w:rPr>
          <w:rFonts w:ascii="Arial" w:hAnsi="Arial" w:cs="Arial"/>
        </w:rPr>
        <w:t xml:space="preserve"> but do not meet criteria for authorship</w:t>
      </w:r>
      <w:r w:rsidR="008D7DD7" w:rsidRPr="007740D9">
        <w:rPr>
          <w:rFonts w:ascii="Arial" w:hAnsi="Arial" w:cs="Arial"/>
        </w:rPr>
        <w:t>, will be listed in the A</w:t>
      </w:r>
      <w:r w:rsidRPr="007740D9">
        <w:rPr>
          <w:rFonts w:ascii="Arial" w:hAnsi="Arial" w:cs="Arial"/>
        </w:rPr>
        <w:t>cknowledgement</w:t>
      </w:r>
      <w:r w:rsidR="008D7DD7" w:rsidRPr="007740D9">
        <w:rPr>
          <w:rFonts w:ascii="Arial" w:hAnsi="Arial" w:cs="Arial"/>
        </w:rPr>
        <w:t>s S</w:t>
      </w:r>
      <w:r w:rsidRPr="007740D9">
        <w:rPr>
          <w:rFonts w:ascii="Arial" w:hAnsi="Arial" w:cs="Arial"/>
        </w:rPr>
        <w:t xml:space="preserve">ection in alphabetical order by site.  </w:t>
      </w:r>
    </w:p>
    <w:p w:rsidR="00E80C3F" w:rsidRPr="007740D9" w:rsidRDefault="00E80C3F" w:rsidP="00E80C3F">
      <w:pPr>
        <w:pStyle w:val="Heading2"/>
        <w:rPr>
          <w:rFonts w:ascii="Arial" w:hAnsi="Arial" w:cs="Arial"/>
          <w:color w:val="auto"/>
          <w:sz w:val="22"/>
          <w:szCs w:val="22"/>
        </w:rPr>
      </w:pPr>
      <w:bookmarkStart w:id="2" w:name="_Toc295917023"/>
      <w:r w:rsidRPr="007740D9">
        <w:rPr>
          <w:rFonts w:ascii="Arial" w:hAnsi="Arial" w:cs="Arial"/>
          <w:color w:val="auto"/>
          <w:sz w:val="22"/>
          <w:szCs w:val="22"/>
        </w:rPr>
        <w:t>Adjudication of Disagreements</w:t>
      </w:r>
      <w:bookmarkEnd w:id="2"/>
    </w:p>
    <w:p w:rsidR="00A36542" w:rsidRPr="007740D9" w:rsidRDefault="00E80C3F" w:rsidP="00A36542">
      <w:pPr>
        <w:numPr>
          <w:ilvl w:val="0"/>
          <w:numId w:val="4"/>
        </w:numPr>
        <w:spacing w:after="0"/>
        <w:rPr>
          <w:rFonts w:ascii="Arial" w:hAnsi="Arial" w:cs="Arial"/>
        </w:rPr>
      </w:pPr>
      <w:r w:rsidRPr="007740D9">
        <w:rPr>
          <w:rFonts w:ascii="Arial" w:hAnsi="Arial" w:cs="Arial"/>
        </w:rPr>
        <w:t>Disagreements regarding authorship, which cannot be resolved by the PM, will be resolved by the PI.</w:t>
      </w:r>
    </w:p>
    <w:p w:rsidR="00800B3B" w:rsidRPr="007740D9" w:rsidRDefault="00800B3B" w:rsidP="00800B3B">
      <w:pPr>
        <w:pStyle w:val="ListParagraph"/>
        <w:ind w:left="360"/>
        <w:rPr>
          <w:rFonts w:ascii="Arial" w:hAnsi="Arial" w:cs="Arial"/>
          <w:b/>
          <w:color w:val="000000"/>
        </w:rPr>
      </w:pPr>
    </w:p>
    <w:p w:rsidR="00F3698B" w:rsidRPr="007740D9" w:rsidRDefault="007740D9" w:rsidP="00F3698B">
      <w:pPr>
        <w:spacing w:after="0"/>
        <w:rPr>
          <w:rFonts w:ascii="Arial" w:hAnsi="Arial" w:cs="Arial"/>
          <w:b/>
          <w:color w:val="000000"/>
        </w:rPr>
      </w:pPr>
      <w:r w:rsidRPr="007740D9">
        <w:rPr>
          <w:rFonts w:ascii="Arial" w:hAnsi="Arial" w:cs="Arial"/>
          <w:b/>
          <w:color w:val="000000"/>
        </w:rPr>
        <w:t xml:space="preserve">PRIM-ER </w:t>
      </w:r>
      <w:r w:rsidR="00800B3B" w:rsidRPr="007740D9">
        <w:rPr>
          <w:rFonts w:ascii="Arial" w:hAnsi="Arial" w:cs="Arial"/>
          <w:b/>
          <w:color w:val="000000"/>
        </w:rPr>
        <w:t xml:space="preserve">Statements </w:t>
      </w:r>
    </w:p>
    <w:p w:rsidR="00800B3B" w:rsidRPr="007740D9" w:rsidRDefault="007740D9" w:rsidP="00F3698B">
      <w:pPr>
        <w:spacing w:after="0"/>
        <w:rPr>
          <w:rFonts w:ascii="Arial" w:hAnsi="Arial" w:cs="Arial"/>
          <w:b/>
          <w:color w:val="000000"/>
        </w:rPr>
      </w:pPr>
      <w:r w:rsidRPr="007740D9">
        <w:rPr>
          <w:rFonts w:ascii="Arial" w:hAnsi="Arial" w:cs="Arial"/>
          <w:color w:val="000000"/>
        </w:rPr>
        <w:t xml:space="preserve">NIH </w:t>
      </w:r>
      <w:r w:rsidR="00800B3B" w:rsidRPr="007740D9">
        <w:rPr>
          <w:rFonts w:ascii="Arial" w:hAnsi="Arial" w:cs="Arial"/>
          <w:color w:val="000000"/>
        </w:rPr>
        <w:t>funding acknowledgment and disclaimer</w:t>
      </w:r>
      <w:r w:rsidR="00AE25E7" w:rsidRPr="007740D9">
        <w:rPr>
          <w:rFonts w:ascii="Arial" w:hAnsi="Arial" w:cs="Arial"/>
          <w:color w:val="000000"/>
        </w:rPr>
        <w:t>s</w:t>
      </w:r>
      <w:r w:rsidR="00800B3B" w:rsidRPr="007740D9">
        <w:rPr>
          <w:rFonts w:ascii="Arial" w:hAnsi="Arial" w:cs="Arial"/>
          <w:color w:val="000000"/>
        </w:rPr>
        <w:t xml:space="preserve"> need to be included on</w:t>
      </w:r>
      <w:r w:rsidR="000F3C45" w:rsidRPr="007740D9">
        <w:rPr>
          <w:rFonts w:ascii="Arial" w:hAnsi="Arial" w:cs="Arial"/>
          <w:color w:val="000000"/>
        </w:rPr>
        <w:t xml:space="preserve"> all</w:t>
      </w:r>
      <w:r w:rsidR="00800B3B" w:rsidRPr="007740D9">
        <w:rPr>
          <w:rFonts w:ascii="Arial" w:hAnsi="Arial" w:cs="Arial"/>
          <w:color w:val="000000"/>
        </w:rPr>
        <w:t xml:space="preserve"> presentations </w:t>
      </w:r>
      <w:r w:rsidR="000F3C45" w:rsidRPr="007740D9">
        <w:rPr>
          <w:rFonts w:ascii="Arial" w:hAnsi="Arial" w:cs="Arial"/>
          <w:color w:val="000000"/>
        </w:rPr>
        <w:t>and</w:t>
      </w:r>
      <w:r w:rsidR="00800B3B" w:rsidRPr="007740D9">
        <w:rPr>
          <w:rFonts w:ascii="Arial" w:hAnsi="Arial" w:cs="Arial"/>
          <w:color w:val="000000"/>
        </w:rPr>
        <w:t xml:space="preserve"> publications. </w:t>
      </w:r>
      <w:r w:rsidR="00A05997" w:rsidRPr="007740D9">
        <w:rPr>
          <w:rFonts w:ascii="Arial" w:hAnsi="Arial" w:cs="Arial"/>
        </w:rPr>
        <w:t>Please see the language</w:t>
      </w:r>
      <w:r w:rsidR="00800B3B" w:rsidRPr="007740D9">
        <w:rPr>
          <w:rFonts w:ascii="Arial" w:hAnsi="Arial" w:cs="Arial"/>
        </w:rPr>
        <w:t xml:space="preserve"> below:</w:t>
      </w:r>
    </w:p>
    <w:p w:rsidR="00800B3B" w:rsidRPr="007740D9" w:rsidRDefault="00A36542" w:rsidP="00A36542">
      <w:pPr>
        <w:pStyle w:val="NormalWeb"/>
        <w:numPr>
          <w:ilvl w:val="0"/>
          <w:numId w:val="6"/>
        </w:numPr>
        <w:shd w:val="clear" w:color="auto" w:fill="FFFFFF"/>
        <w:spacing w:before="0" w:beforeAutospacing="0" w:after="0" w:afterAutospacing="0" w:line="276" w:lineRule="auto"/>
        <w:ind w:left="540" w:hanging="270"/>
        <w:textAlignment w:val="baseline"/>
        <w:rPr>
          <w:rFonts w:ascii="Arial" w:hAnsi="Arial" w:cs="Arial"/>
          <w:sz w:val="22"/>
          <w:szCs w:val="22"/>
        </w:rPr>
      </w:pPr>
      <w:r w:rsidRPr="007740D9">
        <w:rPr>
          <w:rFonts w:ascii="Arial" w:hAnsi="Arial" w:cs="Arial"/>
          <w:b/>
          <w:bCs/>
          <w:sz w:val="22"/>
          <w:szCs w:val="22"/>
        </w:rPr>
        <w:t>Funding Acknowledgement</w:t>
      </w:r>
      <w:r w:rsidR="00800B3B" w:rsidRPr="007740D9">
        <w:rPr>
          <w:rFonts w:ascii="Arial" w:hAnsi="Arial" w:cs="Arial"/>
          <w:b/>
          <w:bCs/>
          <w:sz w:val="22"/>
          <w:szCs w:val="22"/>
        </w:rPr>
        <w:t xml:space="preserve">: </w:t>
      </w:r>
      <w:r w:rsidR="007740D9" w:rsidRPr="007740D9">
        <w:rPr>
          <w:rFonts w:ascii="Arial" w:hAnsi="Arial" w:cs="Arial"/>
          <w:sz w:val="22"/>
          <w:szCs w:val="22"/>
        </w:rPr>
        <w:t xml:space="preserve">Research reported in this publication </w:t>
      </w:r>
      <w:proofErr w:type="gramStart"/>
      <w:r w:rsidR="007740D9" w:rsidRPr="007740D9">
        <w:rPr>
          <w:rFonts w:ascii="Arial" w:hAnsi="Arial" w:cs="Arial"/>
          <w:sz w:val="22"/>
          <w:szCs w:val="22"/>
        </w:rPr>
        <w:t>was supported</w:t>
      </w:r>
      <w:proofErr w:type="gramEnd"/>
      <w:r w:rsidR="007740D9" w:rsidRPr="007740D9">
        <w:rPr>
          <w:rFonts w:ascii="Arial" w:hAnsi="Arial" w:cs="Arial"/>
          <w:sz w:val="22"/>
          <w:szCs w:val="22"/>
        </w:rPr>
        <w:t xml:space="preserve"> by </w:t>
      </w:r>
      <w:r w:rsidR="007740D9">
        <w:rPr>
          <w:rFonts w:ascii="Arial" w:hAnsi="Arial" w:cs="Arial"/>
          <w:sz w:val="22"/>
          <w:szCs w:val="22"/>
        </w:rPr>
        <w:t>1UG3AT009844-01</w:t>
      </w:r>
      <w:r w:rsidR="007740D9" w:rsidRPr="007740D9">
        <w:rPr>
          <w:rFonts w:ascii="Arial" w:hAnsi="Arial" w:cs="Arial"/>
          <w:sz w:val="22"/>
          <w:szCs w:val="22"/>
        </w:rPr>
        <w:t xml:space="preserve"> from the </w:t>
      </w:r>
      <w:r w:rsidR="007740D9">
        <w:rPr>
          <w:rFonts w:ascii="Arial" w:hAnsi="Arial" w:cs="Arial"/>
          <w:sz w:val="22"/>
          <w:szCs w:val="22"/>
        </w:rPr>
        <w:t>National Center for Complementary and Integrative Health</w:t>
      </w:r>
      <w:r w:rsidR="00F24E42">
        <w:rPr>
          <w:rFonts w:ascii="Arial" w:hAnsi="Arial" w:cs="Arial"/>
          <w:sz w:val="22"/>
          <w:szCs w:val="22"/>
        </w:rPr>
        <w:t xml:space="preserve"> and the National Institute on Aging</w:t>
      </w:r>
      <w:r w:rsidR="007740D9">
        <w:rPr>
          <w:rFonts w:ascii="Arial" w:hAnsi="Arial" w:cs="Arial"/>
          <w:sz w:val="22"/>
          <w:szCs w:val="22"/>
        </w:rPr>
        <w:t>.</w:t>
      </w:r>
      <w:r w:rsidR="007740D9" w:rsidRPr="007740D9">
        <w:rPr>
          <w:rFonts w:ascii="Arial" w:hAnsi="Arial" w:cs="Arial"/>
          <w:sz w:val="22"/>
          <w:szCs w:val="22"/>
        </w:rPr>
        <w:t xml:space="preserve"> </w:t>
      </w:r>
      <w:proofErr w:type="gramStart"/>
      <w:r w:rsidR="007740D9" w:rsidRPr="007740D9">
        <w:rPr>
          <w:rFonts w:ascii="Arial" w:hAnsi="Arial" w:cs="Arial"/>
          <w:sz w:val="22"/>
          <w:szCs w:val="22"/>
        </w:rPr>
        <w:t>Support was also provided by the National Institutes of Health (NIH) Common Fund, through a cooperative agreement U24AT009676 from the Office of Strategic Coordination within the Office of the NIH Director</w:t>
      </w:r>
      <w:proofErr w:type="gramEnd"/>
      <w:r w:rsidR="007740D9" w:rsidRPr="007740D9">
        <w:rPr>
          <w:rFonts w:ascii="Arial" w:hAnsi="Arial" w:cs="Arial"/>
          <w:sz w:val="22"/>
          <w:szCs w:val="22"/>
        </w:rPr>
        <w:t xml:space="preserve">. The content is solely the responsibility of the authors and does not necessarily represent the official views of the National Institutes of Health </w:t>
      </w:r>
    </w:p>
    <w:p w:rsidR="007740D9" w:rsidRPr="007740D9" w:rsidRDefault="007740D9" w:rsidP="00A36542">
      <w:pPr>
        <w:rPr>
          <w:rFonts w:ascii="Arial" w:hAnsi="Arial" w:cs="Arial"/>
          <w:b/>
        </w:rPr>
      </w:pPr>
    </w:p>
    <w:p w:rsidR="00A36542" w:rsidRPr="007740D9" w:rsidRDefault="00A36542" w:rsidP="00A36542">
      <w:pPr>
        <w:rPr>
          <w:rFonts w:ascii="Arial" w:hAnsi="Arial" w:cs="Arial"/>
        </w:rPr>
      </w:pPr>
      <w:r w:rsidRPr="007740D9">
        <w:rPr>
          <w:rFonts w:ascii="Arial" w:hAnsi="Arial" w:cs="Arial"/>
        </w:rPr>
        <w:t xml:space="preserve">*Guidelines apply to all manuscripts, posters, and oral presentations. </w:t>
      </w:r>
    </w:p>
    <w:p w:rsidR="00A36542" w:rsidRPr="007740D9" w:rsidRDefault="00A36542" w:rsidP="00A36542">
      <w:pPr>
        <w:rPr>
          <w:rFonts w:ascii="Arial" w:hAnsi="Arial" w:cs="Arial"/>
        </w:rPr>
      </w:pPr>
      <w:r w:rsidRPr="007740D9">
        <w:rPr>
          <w:rFonts w:ascii="Arial" w:hAnsi="Arial" w:cs="Arial"/>
        </w:rPr>
        <w:lastRenderedPageBreak/>
        <w:t xml:space="preserve">All manuscripts, posters, and presentations must be vetted by the PM and PI prior to submission: </w:t>
      </w:r>
    </w:p>
    <w:p w:rsidR="00A36542" w:rsidRPr="007740D9" w:rsidRDefault="00A36542" w:rsidP="00A36542">
      <w:pPr>
        <w:pStyle w:val="ListParagraph"/>
        <w:numPr>
          <w:ilvl w:val="0"/>
          <w:numId w:val="8"/>
        </w:numPr>
        <w:rPr>
          <w:rFonts w:ascii="Arial" w:hAnsi="Arial" w:cs="Arial"/>
        </w:rPr>
      </w:pPr>
      <w:r w:rsidRPr="007740D9">
        <w:rPr>
          <w:rFonts w:ascii="Arial" w:hAnsi="Arial" w:cs="Arial"/>
        </w:rPr>
        <w:t>At least  one week prior for posters and oral presentations</w:t>
      </w:r>
    </w:p>
    <w:p w:rsidR="00A36542" w:rsidRPr="007740D9" w:rsidRDefault="00A36542" w:rsidP="00E80C3F">
      <w:pPr>
        <w:pStyle w:val="ListParagraph"/>
        <w:numPr>
          <w:ilvl w:val="0"/>
          <w:numId w:val="8"/>
        </w:numPr>
        <w:rPr>
          <w:rFonts w:ascii="Arial" w:hAnsi="Arial" w:cs="Arial"/>
        </w:rPr>
      </w:pPr>
      <w:r w:rsidRPr="007740D9">
        <w:rPr>
          <w:rFonts w:ascii="Arial" w:hAnsi="Arial" w:cs="Arial"/>
        </w:rPr>
        <w:t>At least  one  month prior for manuscripts</w:t>
      </w:r>
    </w:p>
    <w:p w:rsidR="00A36542" w:rsidRPr="007740D9" w:rsidRDefault="00A36542" w:rsidP="00A36542">
      <w:pPr>
        <w:pStyle w:val="ListParagraph"/>
        <w:rPr>
          <w:rFonts w:ascii="Arial" w:hAnsi="Arial" w:cs="Arial"/>
        </w:rPr>
      </w:pPr>
    </w:p>
    <w:p w:rsidR="00A36542" w:rsidRPr="007740D9" w:rsidRDefault="00A36542" w:rsidP="00E80C3F">
      <w:pPr>
        <w:rPr>
          <w:rFonts w:ascii="Arial" w:hAnsi="Arial" w:cs="Arial"/>
        </w:rPr>
      </w:pPr>
      <w:r w:rsidRPr="007740D9">
        <w:rPr>
          <w:rFonts w:ascii="Arial" w:hAnsi="Arial" w:cs="Arial"/>
        </w:rPr>
        <w:t xml:space="preserve">The PM and PI must be notified of all accepted manuscripts, posters, or oral </w:t>
      </w:r>
      <w:proofErr w:type="gramStart"/>
      <w:r w:rsidRPr="007740D9">
        <w:rPr>
          <w:rFonts w:ascii="Arial" w:hAnsi="Arial" w:cs="Arial"/>
        </w:rPr>
        <w:t>presentations .</w:t>
      </w:r>
      <w:proofErr w:type="gramEnd"/>
      <w:r w:rsidRPr="007740D9">
        <w:rPr>
          <w:rFonts w:ascii="Arial" w:hAnsi="Arial" w:cs="Arial"/>
        </w:rPr>
        <w:t xml:space="preserve"> </w:t>
      </w:r>
    </w:p>
    <w:p w:rsidR="00E80C3F" w:rsidRPr="007740D9" w:rsidRDefault="00E80C3F" w:rsidP="00E80C3F">
      <w:pPr>
        <w:rPr>
          <w:rFonts w:ascii="Arial" w:hAnsi="Arial" w:cs="Arial"/>
        </w:rPr>
      </w:pPr>
      <w:r w:rsidRPr="007740D9">
        <w:rPr>
          <w:rFonts w:ascii="Arial" w:hAnsi="Arial" w:cs="Arial"/>
          <w:b/>
        </w:rPr>
        <w:t>Writing Group Policies</w:t>
      </w:r>
    </w:p>
    <w:p w:rsidR="00E80C3F" w:rsidRPr="007740D9" w:rsidRDefault="00E80C3F" w:rsidP="00E80C3F">
      <w:pPr>
        <w:rPr>
          <w:rFonts w:ascii="Arial" w:hAnsi="Arial" w:cs="Arial"/>
        </w:rPr>
      </w:pPr>
      <w:r w:rsidRPr="007740D9">
        <w:rPr>
          <w:rFonts w:ascii="Arial" w:hAnsi="Arial" w:cs="Arial"/>
        </w:rPr>
        <w:t xml:space="preserve">In order to ensure that all investigators have the opportunity to participate and </w:t>
      </w:r>
      <w:proofErr w:type="gramStart"/>
      <w:r w:rsidRPr="007740D9">
        <w:rPr>
          <w:rFonts w:ascii="Arial" w:hAnsi="Arial" w:cs="Arial"/>
        </w:rPr>
        <w:t>be recognized</w:t>
      </w:r>
      <w:proofErr w:type="gramEnd"/>
      <w:r w:rsidRPr="007740D9">
        <w:rPr>
          <w:rFonts w:ascii="Arial" w:hAnsi="Arial" w:cs="Arial"/>
        </w:rPr>
        <w:t xml:space="preserve"> in the </w:t>
      </w:r>
      <w:r w:rsidR="007740D9" w:rsidRPr="007740D9">
        <w:rPr>
          <w:rFonts w:ascii="Arial" w:hAnsi="Arial" w:cs="Arial"/>
        </w:rPr>
        <w:t xml:space="preserve">PRIM-ER </w:t>
      </w:r>
      <w:r w:rsidRPr="007740D9">
        <w:rPr>
          <w:rFonts w:ascii="Arial" w:hAnsi="Arial" w:cs="Arial"/>
        </w:rPr>
        <w:t xml:space="preserve">papers, writing groups will usually include investigators from several centers.  Investigators interested in being part of a writing group should submit comments and/or suggestions during the proposal development.  Writing Group membership should be established before submitting the final proposal. </w:t>
      </w:r>
    </w:p>
    <w:p w:rsidR="00E80C3F" w:rsidRPr="007740D9" w:rsidRDefault="00E80C3F" w:rsidP="00E80C3F">
      <w:pPr>
        <w:rPr>
          <w:rFonts w:ascii="Arial" w:hAnsi="Arial" w:cs="Arial"/>
        </w:rPr>
      </w:pPr>
      <w:r w:rsidRPr="007740D9">
        <w:rPr>
          <w:rFonts w:ascii="Arial" w:hAnsi="Arial" w:cs="Arial"/>
        </w:rPr>
        <w:t xml:space="preserve">Usually the manuscript proposer will be designated as the Writing Group Facilitator and first author of the paper.  He/she will receive written notification of all Writing Group members and his/her responsibilities as facilitator (see below). </w:t>
      </w:r>
    </w:p>
    <w:p w:rsidR="00E80C3F" w:rsidRPr="007740D9" w:rsidRDefault="00E80C3F" w:rsidP="00E80C3F">
      <w:pPr>
        <w:numPr>
          <w:ilvl w:val="0"/>
          <w:numId w:val="2"/>
        </w:numPr>
        <w:spacing w:after="0"/>
        <w:rPr>
          <w:rFonts w:ascii="Arial" w:hAnsi="Arial" w:cs="Arial"/>
        </w:rPr>
      </w:pPr>
      <w:r w:rsidRPr="007740D9">
        <w:rPr>
          <w:rFonts w:ascii="Arial" w:hAnsi="Arial" w:cs="Arial"/>
        </w:rPr>
        <w:t>The Writing Group Facilitator is responsible for all phases of manuscript preparation, from conception through publication.  These responsibilities include:</w:t>
      </w:r>
    </w:p>
    <w:p w:rsidR="00E80C3F" w:rsidRPr="007740D9" w:rsidRDefault="00E80C3F" w:rsidP="00E80C3F">
      <w:pPr>
        <w:numPr>
          <w:ilvl w:val="0"/>
          <w:numId w:val="2"/>
        </w:numPr>
        <w:spacing w:after="0"/>
        <w:rPr>
          <w:rFonts w:ascii="Arial" w:hAnsi="Arial" w:cs="Arial"/>
        </w:rPr>
      </w:pPr>
      <w:r w:rsidRPr="007740D9">
        <w:rPr>
          <w:rFonts w:ascii="Arial" w:hAnsi="Arial" w:cs="Arial"/>
        </w:rPr>
        <w:t>Preparation of outlines, the identification of data analyses needed, and submission of interim status reports to the Publications Committee;</w:t>
      </w:r>
    </w:p>
    <w:p w:rsidR="00E80C3F" w:rsidRPr="007740D9" w:rsidRDefault="00E80C3F" w:rsidP="00E80C3F">
      <w:pPr>
        <w:numPr>
          <w:ilvl w:val="0"/>
          <w:numId w:val="2"/>
        </w:numPr>
        <w:spacing w:after="0"/>
        <w:rPr>
          <w:rFonts w:ascii="Arial" w:hAnsi="Arial" w:cs="Arial"/>
        </w:rPr>
      </w:pPr>
      <w:r w:rsidRPr="007740D9">
        <w:rPr>
          <w:rFonts w:ascii="Arial" w:hAnsi="Arial" w:cs="Arial"/>
        </w:rPr>
        <w:t>Assignment of tasks to Writing Group members with clear deadlines for completion of these tasks and determination that the tasks are completed on schedule;</w:t>
      </w:r>
    </w:p>
    <w:p w:rsidR="00E80C3F" w:rsidRPr="007740D9" w:rsidRDefault="00E80C3F" w:rsidP="00E80C3F">
      <w:pPr>
        <w:numPr>
          <w:ilvl w:val="0"/>
          <w:numId w:val="2"/>
        </w:numPr>
        <w:spacing w:after="0"/>
        <w:rPr>
          <w:rFonts w:ascii="Arial" w:hAnsi="Arial" w:cs="Arial"/>
        </w:rPr>
      </w:pPr>
      <w:r w:rsidRPr="007740D9">
        <w:rPr>
          <w:rFonts w:ascii="Arial" w:hAnsi="Arial" w:cs="Arial"/>
        </w:rPr>
        <w:t>Preparation and circulation of drafts for approval by each member of the Writing Group before submission of a Penultimate Draft to the Publications Committee and before submission to a journal;</w:t>
      </w:r>
    </w:p>
    <w:p w:rsidR="00E80C3F" w:rsidRPr="007740D9" w:rsidRDefault="00E80C3F" w:rsidP="00E80C3F">
      <w:pPr>
        <w:numPr>
          <w:ilvl w:val="0"/>
          <w:numId w:val="2"/>
        </w:numPr>
        <w:spacing w:after="0"/>
        <w:rPr>
          <w:rFonts w:ascii="Arial" w:hAnsi="Arial" w:cs="Arial"/>
        </w:rPr>
      </w:pPr>
      <w:r w:rsidRPr="007740D9">
        <w:rPr>
          <w:rFonts w:ascii="Arial" w:hAnsi="Arial" w:cs="Arial"/>
        </w:rPr>
        <w:t>Determination of the order of authorship on the manuscript.  A major criterion will be the effort and contribution made by each member of the Writing Group in the preparation of the manuscript;</w:t>
      </w:r>
    </w:p>
    <w:p w:rsidR="00E80C3F" w:rsidRPr="007740D9" w:rsidRDefault="00E80C3F" w:rsidP="00E80C3F">
      <w:pPr>
        <w:numPr>
          <w:ilvl w:val="0"/>
          <w:numId w:val="2"/>
        </w:numPr>
        <w:spacing w:after="0"/>
        <w:rPr>
          <w:rFonts w:ascii="Arial" w:hAnsi="Arial" w:cs="Arial"/>
        </w:rPr>
      </w:pPr>
      <w:r w:rsidRPr="007740D9">
        <w:rPr>
          <w:rFonts w:ascii="Arial" w:hAnsi="Arial" w:cs="Arial"/>
        </w:rPr>
        <w:t>Choice of a journal to which the manuscript will be submitted;</w:t>
      </w:r>
    </w:p>
    <w:p w:rsidR="00E80C3F" w:rsidRPr="007740D9" w:rsidRDefault="00D41C3F" w:rsidP="00E80C3F">
      <w:pPr>
        <w:numPr>
          <w:ilvl w:val="0"/>
          <w:numId w:val="2"/>
        </w:numPr>
        <w:spacing w:after="0"/>
        <w:rPr>
          <w:rFonts w:ascii="Arial" w:hAnsi="Arial" w:cs="Arial"/>
        </w:rPr>
      </w:pPr>
      <w:r w:rsidRPr="007740D9">
        <w:rPr>
          <w:rFonts w:ascii="Arial" w:hAnsi="Arial" w:cs="Arial"/>
        </w:rPr>
        <w:t xml:space="preserve">Correspondence with coauthor and </w:t>
      </w:r>
      <w:r w:rsidR="00E80C3F" w:rsidRPr="007740D9">
        <w:rPr>
          <w:rFonts w:ascii="Arial" w:hAnsi="Arial" w:cs="Arial"/>
        </w:rPr>
        <w:t>journal editors.</w:t>
      </w:r>
    </w:p>
    <w:p w:rsidR="00E80C3F" w:rsidRPr="007740D9" w:rsidRDefault="00E80C3F" w:rsidP="00E80C3F">
      <w:pPr>
        <w:rPr>
          <w:rFonts w:ascii="Arial" w:hAnsi="Arial" w:cs="Arial"/>
        </w:rPr>
      </w:pPr>
    </w:p>
    <w:p w:rsidR="00E80C3F" w:rsidRPr="007740D9" w:rsidRDefault="00E80C3F" w:rsidP="00E80C3F">
      <w:pPr>
        <w:rPr>
          <w:rFonts w:ascii="Arial" w:hAnsi="Arial" w:cs="Arial"/>
        </w:rPr>
      </w:pPr>
      <w:r w:rsidRPr="007740D9">
        <w:rPr>
          <w:rFonts w:ascii="Arial" w:hAnsi="Arial" w:cs="Arial"/>
        </w:rPr>
        <w:t>The Writing Group Facilitator should contact each member of the Writing Group to discuss the outline of the paper, data analysis plan, and the responsibilities and assignments for each member.  Members of the Writing Group are responsible for performance of tasks assigned by the Facilitator within the allotted time period.  Each member is expected to actively participate in the preparation of the manuscript.</w:t>
      </w:r>
    </w:p>
    <w:p w:rsidR="00E80C3F" w:rsidRPr="007740D9" w:rsidRDefault="00E80C3F" w:rsidP="00E80C3F">
      <w:pPr>
        <w:rPr>
          <w:rFonts w:ascii="Arial" w:hAnsi="Arial" w:cs="Arial"/>
        </w:rPr>
      </w:pPr>
      <w:r w:rsidRPr="007740D9">
        <w:rPr>
          <w:rFonts w:ascii="Arial" w:hAnsi="Arial" w:cs="Arial"/>
        </w:rPr>
        <w:t xml:space="preserve">If a Writing Group member does not accomplish the tasks assigned to him/her and has not contributed to the manuscript, he/she </w:t>
      </w:r>
      <w:proofErr w:type="gramStart"/>
      <w:r w:rsidRPr="007740D9">
        <w:rPr>
          <w:rFonts w:ascii="Arial" w:hAnsi="Arial" w:cs="Arial"/>
        </w:rPr>
        <w:t>may be removed</w:t>
      </w:r>
      <w:proofErr w:type="gramEnd"/>
      <w:r w:rsidRPr="007740D9">
        <w:rPr>
          <w:rFonts w:ascii="Arial" w:hAnsi="Arial" w:cs="Arial"/>
        </w:rPr>
        <w:t xml:space="preserve"> from the Writing Group.  </w:t>
      </w:r>
    </w:p>
    <w:p w:rsidR="00E80C3F" w:rsidRPr="007740D9" w:rsidRDefault="00E80C3F" w:rsidP="00234BED">
      <w:pPr>
        <w:pStyle w:val="Heading1"/>
        <w:spacing w:line="276" w:lineRule="auto"/>
        <w:rPr>
          <w:rFonts w:cs="Arial"/>
          <w:sz w:val="22"/>
          <w:szCs w:val="22"/>
        </w:rPr>
      </w:pPr>
      <w:bookmarkStart w:id="3" w:name="_GoBack"/>
      <w:bookmarkEnd w:id="3"/>
      <w:r w:rsidRPr="007740D9">
        <w:rPr>
          <w:rFonts w:cs="Arial"/>
          <w:sz w:val="22"/>
          <w:szCs w:val="22"/>
        </w:rPr>
        <w:t>ICMJE Authorship Guidelines</w:t>
      </w:r>
    </w:p>
    <w:p w:rsidR="00234BED" w:rsidRPr="007740D9" w:rsidRDefault="00234BED" w:rsidP="00234BED">
      <w:pPr>
        <w:rPr>
          <w:rFonts w:ascii="Arial" w:hAnsi="Arial" w:cs="Arial"/>
          <w:lang w:eastAsia="en-US"/>
        </w:rPr>
      </w:pPr>
    </w:p>
    <w:p w:rsidR="00E80C3F" w:rsidRPr="007740D9" w:rsidRDefault="00E80C3F" w:rsidP="00E80C3F">
      <w:pPr>
        <w:rPr>
          <w:rFonts w:ascii="Arial" w:hAnsi="Arial" w:cs="Arial"/>
        </w:rPr>
      </w:pPr>
      <w:r w:rsidRPr="007740D9">
        <w:rPr>
          <w:rFonts w:ascii="Arial" w:hAnsi="Arial" w:cs="Arial"/>
        </w:rPr>
        <w:t>The International Committee of Medical Journal Editors has recommended the following criteria for authorship; these criteria are still appropriate for those journals that distinguish authors from other contributors.</w:t>
      </w:r>
    </w:p>
    <w:p w:rsidR="00E80C3F" w:rsidRPr="007740D9" w:rsidRDefault="00E80C3F" w:rsidP="00E80C3F">
      <w:pPr>
        <w:numPr>
          <w:ilvl w:val="0"/>
          <w:numId w:val="1"/>
        </w:numPr>
        <w:spacing w:after="0"/>
        <w:rPr>
          <w:rFonts w:ascii="Arial" w:hAnsi="Arial" w:cs="Arial"/>
        </w:rPr>
      </w:pPr>
      <w:r w:rsidRPr="007740D9">
        <w:rPr>
          <w:rFonts w:ascii="Arial" w:hAnsi="Arial" w:cs="Arial"/>
        </w:rPr>
        <w:t>Authorship credit should be based on 1) substantial contributions to conception and design, or acquisition of data, or analysis and interpretation of data; 2) drafting the article or revising it critically for important intellectual content; and 3) final approval of the version to be published. Authors should meet conditions 1, 2, and 3.</w:t>
      </w:r>
    </w:p>
    <w:p w:rsidR="00E80C3F" w:rsidRPr="007740D9" w:rsidRDefault="00E80C3F" w:rsidP="00E80C3F">
      <w:pPr>
        <w:numPr>
          <w:ilvl w:val="0"/>
          <w:numId w:val="1"/>
        </w:numPr>
        <w:spacing w:after="0"/>
        <w:rPr>
          <w:rFonts w:ascii="Arial" w:hAnsi="Arial" w:cs="Arial"/>
        </w:rPr>
      </w:pPr>
      <w:r w:rsidRPr="007740D9">
        <w:rPr>
          <w:rFonts w:ascii="Arial" w:hAnsi="Arial" w:cs="Arial"/>
        </w:rPr>
        <w:t>When a large, multi-center group has conducted the work, the group should identify the individuals who accept direct responsibility for the manuscript (3). These individuals should fully meet the criteria for authorship defined above and editors will ask these individuals to complete journal-specific author and conflict of interest disclosure forms. When submitting a group author manuscript, the corresponding author should clearly indicate the preferred citation and should clearly identify all individual authors as well as the group name. Journals will generally list other members of the group in the acknowledgements. The National Library of Medicine indexes the group name and the names of individuals the group has identified as being directly responsible for the manuscript.</w:t>
      </w:r>
    </w:p>
    <w:p w:rsidR="00E80C3F" w:rsidRPr="007740D9" w:rsidRDefault="00E80C3F" w:rsidP="00E80C3F">
      <w:pPr>
        <w:numPr>
          <w:ilvl w:val="0"/>
          <w:numId w:val="1"/>
        </w:numPr>
        <w:spacing w:after="0"/>
        <w:rPr>
          <w:rFonts w:ascii="Arial" w:hAnsi="Arial" w:cs="Arial"/>
        </w:rPr>
      </w:pPr>
      <w:r w:rsidRPr="007740D9">
        <w:rPr>
          <w:rFonts w:ascii="Arial" w:hAnsi="Arial" w:cs="Arial"/>
        </w:rPr>
        <w:t>Acquisition of funding, collection of data, or general supervision of the research group, alone, does not justify authorship.</w:t>
      </w:r>
    </w:p>
    <w:p w:rsidR="00E80C3F" w:rsidRPr="007740D9" w:rsidRDefault="00E80C3F" w:rsidP="00E80C3F">
      <w:pPr>
        <w:numPr>
          <w:ilvl w:val="0"/>
          <w:numId w:val="1"/>
        </w:numPr>
        <w:spacing w:after="0"/>
        <w:rPr>
          <w:rFonts w:ascii="Arial" w:hAnsi="Arial" w:cs="Arial"/>
        </w:rPr>
      </w:pPr>
      <w:r w:rsidRPr="007740D9">
        <w:rPr>
          <w:rFonts w:ascii="Arial" w:hAnsi="Arial" w:cs="Arial"/>
        </w:rPr>
        <w:t>All persons designated as authors should qualify for authorship, and all those who qualify should be listed.</w:t>
      </w:r>
    </w:p>
    <w:p w:rsidR="00E80C3F" w:rsidRPr="007740D9" w:rsidRDefault="00E80C3F" w:rsidP="00E80C3F">
      <w:pPr>
        <w:numPr>
          <w:ilvl w:val="0"/>
          <w:numId w:val="1"/>
        </w:numPr>
        <w:spacing w:after="0"/>
        <w:rPr>
          <w:rFonts w:ascii="Arial" w:hAnsi="Arial" w:cs="Arial"/>
        </w:rPr>
      </w:pPr>
      <w:r w:rsidRPr="007740D9">
        <w:rPr>
          <w:rFonts w:ascii="Arial" w:hAnsi="Arial" w:cs="Arial"/>
        </w:rPr>
        <w:t xml:space="preserve">Each author should have participated sufficiently in the work to take public responsibility for appropriate portions of the content. </w:t>
      </w:r>
    </w:p>
    <w:p w:rsidR="008F1999" w:rsidRPr="007740D9" w:rsidRDefault="008F1999" w:rsidP="008F1999">
      <w:pPr>
        <w:spacing w:after="0"/>
        <w:ind w:left="576"/>
        <w:rPr>
          <w:rFonts w:ascii="Arial" w:hAnsi="Arial" w:cs="Arial"/>
        </w:rPr>
      </w:pPr>
    </w:p>
    <w:p w:rsidR="00E80C3F" w:rsidRPr="007740D9" w:rsidRDefault="00E80C3F" w:rsidP="00E80C3F">
      <w:pPr>
        <w:rPr>
          <w:rFonts w:ascii="Arial" w:hAnsi="Arial" w:cs="Arial"/>
        </w:rPr>
      </w:pPr>
      <w:r w:rsidRPr="007740D9">
        <w:rPr>
          <w:rFonts w:ascii="Arial" w:hAnsi="Arial" w:cs="Arial"/>
        </w:rPr>
        <w:t>Some journals now also request that one or more authors, referred to as “guarantors,” be identified as the persons who take responsibility for the integrity of the work as a whole, from inception to published article, and publish that information.</w:t>
      </w:r>
    </w:p>
    <w:p w:rsidR="00E80C3F" w:rsidRPr="007740D9" w:rsidRDefault="00E80C3F" w:rsidP="00E80C3F">
      <w:pPr>
        <w:rPr>
          <w:rFonts w:ascii="Arial" w:hAnsi="Arial" w:cs="Arial"/>
        </w:rPr>
      </w:pPr>
      <w:r w:rsidRPr="007740D9">
        <w:rPr>
          <w:rFonts w:ascii="Arial" w:hAnsi="Arial" w:cs="Arial"/>
        </w:rPr>
        <w:t>Increasingly, authorship of multi-center trials is attributed to a group. All members of the group who are named as authors should fully meet the above criteria for authorship.</w:t>
      </w:r>
    </w:p>
    <w:p w:rsidR="00E80C3F" w:rsidRPr="007740D9" w:rsidRDefault="00E80C3F" w:rsidP="00E80C3F">
      <w:pPr>
        <w:rPr>
          <w:rFonts w:ascii="Arial" w:hAnsi="Arial" w:cs="Arial"/>
        </w:rPr>
      </w:pPr>
      <w:r w:rsidRPr="007740D9">
        <w:rPr>
          <w:rFonts w:ascii="Arial" w:hAnsi="Arial" w:cs="Arial"/>
        </w:rPr>
        <w:t>The order of authorship on the byline should be a joint decision of the co-authors. Authors should be prepared to explain the order in which authors are listed.</w:t>
      </w:r>
    </w:p>
    <w:p w:rsidR="00E80C3F" w:rsidRPr="007740D9" w:rsidRDefault="00E80C3F" w:rsidP="00DA66A4">
      <w:pPr>
        <w:tabs>
          <w:tab w:val="right" w:pos="9990"/>
        </w:tabs>
        <w:rPr>
          <w:rFonts w:ascii="Arial" w:hAnsi="Arial" w:cs="Arial"/>
        </w:rPr>
      </w:pPr>
      <w:r w:rsidRPr="007740D9">
        <w:rPr>
          <w:rFonts w:ascii="Arial" w:hAnsi="Arial" w:cs="Arial"/>
        </w:rPr>
        <w:t xml:space="preserve">Source:  </w:t>
      </w:r>
      <w:hyperlink r:id="rId8" w:history="1">
        <w:r w:rsidR="00DA66A4" w:rsidRPr="007740D9">
          <w:rPr>
            <w:rStyle w:val="Hyperlink"/>
            <w:rFonts w:ascii="Arial" w:hAnsi="Arial" w:cs="Arial"/>
          </w:rPr>
          <w:t>www.icmje.org</w:t>
        </w:r>
      </w:hyperlink>
      <w:r w:rsidR="00DA66A4" w:rsidRPr="007740D9">
        <w:rPr>
          <w:rFonts w:ascii="Arial" w:hAnsi="Arial" w:cs="Arial"/>
        </w:rPr>
        <w:t xml:space="preserve"> </w:t>
      </w:r>
    </w:p>
    <w:p w:rsidR="00E80C3F" w:rsidRPr="007740D9" w:rsidRDefault="00E80C3F" w:rsidP="00E80C3F">
      <w:pPr>
        <w:rPr>
          <w:rFonts w:ascii="Arial" w:hAnsi="Arial" w:cs="Arial"/>
        </w:rPr>
      </w:pPr>
    </w:p>
    <w:sectPr w:rsidR="00E80C3F" w:rsidRPr="007740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C3F" w:rsidRDefault="00E80C3F" w:rsidP="00E80C3F">
      <w:pPr>
        <w:spacing w:after="0" w:line="240" w:lineRule="auto"/>
      </w:pPr>
      <w:r>
        <w:separator/>
      </w:r>
    </w:p>
  </w:endnote>
  <w:endnote w:type="continuationSeparator" w:id="0">
    <w:p w:rsidR="00E80C3F" w:rsidRDefault="00E80C3F" w:rsidP="00E8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C3F" w:rsidRDefault="00E80C3F" w:rsidP="00E80C3F">
      <w:pPr>
        <w:spacing w:after="0" w:line="240" w:lineRule="auto"/>
      </w:pPr>
      <w:r>
        <w:separator/>
      </w:r>
    </w:p>
  </w:footnote>
  <w:footnote w:type="continuationSeparator" w:id="0">
    <w:p w:rsidR="00E80C3F" w:rsidRDefault="00E80C3F" w:rsidP="00E80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3F" w:rsidRPr="007740D9" w:rsidRDefault="007740D9">
    <w:pPr>
      <w:pStyle w:val="Header"/>
      <w:rPr>
        <w:rFonts w:ascii="Arial" w:hAnsi="Arial" w:cs="Arial"/>
      </w:rPr>
    </w:pPr>
    <w:r w:rsidRPr="007740D9">
      <w:rPr>
        <w:rFonts w:ascii="Arial" w:hAnsi="Arial" w:cs="Arial"/>
      </w:rPr>
      <w:t>PRIM-ER</w:t>
    </w:r>
    <w:r w:rsidR="00A05997" w:rsidRPr="007740D9">
      <w:rPr>
        <w:rFonts w:ascii="Arial" w:hAnsi="Arial" w:cs="Arial"/>
      </w:rPr>
      <w:t xml:space="preserve"> </w:t>
    </w:r>
    <w:r w:rsidR="00E80C3F" w:rsidRPr="007740D9">
      <w:rPr>
        <w:rFonts w:ascii="Arial" w:hAnsi="Arial" w:cs="Arial"/>
      </w:rPr>
      <w:t>Authorship Guidelines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AB4"/>
    <w:multiLevelType w:val="multilevel"/>
    <w:tmpl w:val="A104C08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4F74E2"/>
    <w:multiLevelType w:val="multilevel"/>
    <w:tmpl w:val="EDE282C0"/>
    <w:lvl w:ilvl="0">
      <w:start w:val="1"/>
      <w:numFmt w:val="lowerLetter"/>
      <w:lvlText w:val="%1."/>
      <w:lvlJc w:val="left"/>
      <w:pPr>
        <w:ind w:left="576" w:hanging="288"/>
      </w:pPr>
      <w:rPr>
        <w:rFonts w:hint="default"/>
      </w:rPr>
    </w:lvl>
    <w:lvl w:ilvl="1">
      <w:start w:val="1"/>
      <w:numFmt w:val="lowerRoman"/>
      <w:lvlText w:val="%2."/>
      <w:lvlJc w:val="left"/>
      <w:pPr>
        <w:ind w:left="1008" w:hanging="288"/>
      </w:pPr>
      <w:rPr>
        <w:rFonts w:hint="default"/>
      </w:rPr>
    </w:lvl>
    <w:lvl w:ilvl="2">
      <w:start w:val="1"/>
      <w:numFmt w:val="lowerRoman"/>
      <w:lvlText w:val="%3)"/>
      <w:lvlJc w:val="left"/>
      <w:pPr>
        <w:ind w:left="576" w:hanging="288"/>
      </w:pPr>
      <w:rPr>
        <w:rFonts w:hint="default"/>
      </w:rPr>
    </w:lvl>
    <w:lvl w:ilvl="3">
      <w:start w:val="1"/>
      <w:numFmt w:val="lowerLetter"/>
      <w:lvlText w:val="%4."/>
      <w:lvlJc w:val="left"/>
      <w:pPr>
        <w:ind w:left="504" w:hanging="288"/>
      </w:pPr>
      <w:rPr>
        <w:rFonts w:hint="default"/>
        <w:b/>
      </w:rPr>
    </w:lvl>
    <w:lvl w:ilvl="4">
      <w:start w:val="1"/>
      <w:numFmt w:val="upperRoman"/>
      <w:lvlText w:val="%5."/>
      <w:lvlJc w:val="right"/>
      <w:pPr>
        <w:ind w:left="432" w:hanging="288"/>
      </w:pPr>
      <w:rPr>
        <w:rFonts w:hint="default"/>
      </w:rPr>
    </w:lvl>
    <w:lvl w:ilvl="5">
      <w:start w:val="1"/>
      <w:numFmt w:val="lowerRoman"/>
      <w:lvlText w:val="(%6)"/>
      <w:lvlJc w:val="left"/>
      <w:pPr>
        <w:ind w:left="360"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16" w:hanging="288"/>
      </w:pPr>
      <w:rPr>
        <w:rFonts w:hint="default"/>
      </w:rPr>
    </w:lvl>
    <w:lvl w:ilvl="8">
      <w:start w:val="1"/>
      <w:numFmt w:val="lowerRoman"/>
      <w:lvlText w:val="%9."/>
      <w:lvlJc w:val="left"/>
      <w:pPr>
        <w:ind w:left="144" w:hanging="288"/>
      </w:pPr>
      <w:rPr>
        <w:rFonts w:hint="default"/>
      </w:rPr>
    </w:lvl>
  </w:abstractNum>
  <w:abstractNum w:abstractNumId="2" w15:restartNumberingAfterBreak="0">
    <w:nsid w:val="19406164"/>
    <w:multiLevelType w:val="multilevel"/>
    <w:tmpl w:val="EDE282C0"/>
    <w:lvl w:ilvl="0">
      <w:start w:val="1"/>
      <w:numFmt w:val="lowerLetter"/>
      <w:lvlText w:val="%1."/>
      <w:lvlJc w:val="left"/>
      <w:pPr>
        <w:ind w:left="576" w:hanging="288"/>
      </w:pPr>
      <w:rPr>
        <w:rFonts w:hint="default"/>
      </w:rPr>
    </w:lvl>
    <w:lvl w:ilvl="1">
      <w:start w:val="1"/>
      <w:numFmt w:val="lowerRoman"/>
      <w:lvlText w:val="%2."/>
      <w:lvlJc w:val="left"/>
      <w:pPr>
        <w:ind w:left="1008" w:hanging="288"/>
      </w:pPr>
      <w:rPr>
        <w:rFonts w:hint="default"/>
      </w:rPr>
    </w:lvl>
    <w:lvl w:ilvl="2">
      <w:start w:val="1"/>
      <w:numFmt w:val="lowerRoman"/>
      <w:lvlText w:val="%3)"/>
      <w:lvlJc w:val="left"/>
      <w:pPr>
        <w:ind w:left="576" w:hanging="288"/>
      </w:pPr>
      <w:rPr>
        <w:rFonts w:hint="default"/>
      </w:rPr>
    </w:lvl>
    <w:lvl w:ilvl="3">
      <w:start w:val="1"/>
      <w:numFmt w:val="lowerLetter"/>
      <w:lvlText w:val="%4."/>
      <w:lvlJc w:val="left"/>
      <w:pPr>
        <w:ind w:left="504" w:hanging="288"/>
      </w:pPr>
      <w:rPr>
        <w:rFonts w:hint="default"/>
        <w:b/>
      </w:rPr>
    </w:lvl>
    <w:lvl w:ilvl="4">
      <w:start w:val="1"/>
      <w:numFmt w:val="upperRoman"/>
      <w:lvlText w:val="%5."/>
      <w:lvlJc w:val="right"/>
      <w:pPr>
        <w:ind w:left="432" w:hanging="288"/>
      </w:pPr>
      <w:rPr>
        <w:rFonts w:hint="default"/>
      </w:rPr>
    </w:lvl>
    <w:lvl w:ilvl="5">
      <w:start w:val="1"/>
      <w:numFmt w:val="lowerRoman"/>
      <w:lvlText w:val="(%6)"/>
      <w:lvlJc w:val="left"/>
      <w:pPr>
        <w:ind w:left="360"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16" w:hanging="288"/>
      </w:pPr>
      <w:rPr>
        <w:rFonts w:hint="default"/>
      </w:rPr>
    </w:lvl>
    <w:lvl w:ilvl="8">
      <w:start w:val="1"/>
      <w:numFmt w:val="lowerRoman"/>
      <w:lvlText w:val="%9."/>
      <w:lvlJc w:val="left"/>
      <w:pPr>
        <w:ind w:left="144" w:hanging="288"/>
      </w:pPr>
      <w:rPr>
        <w:rFonts w:hint="default"/>
      </w:rPr>
    </w:lvl>
  </w:abstractNum>
  <w:abstractNum w:abstractNumId="3" w15:restartNumberingAfterBreak="0">
    <w:nsid w:val="2D2E6679"/>
    <w:multiLevelType w:val="hybridMultilevel"/>
    <w:tmpl w:val="00A07BA8"/>
    <w:lvl w:ilvl="0" w:tplc="4AA8906E">
      <w:start w:val="1"/>
      <w:numFmt w:val="bullet"/>
      <w:lvlText w:val=""/>
      <w:lvlJc w:val="left"/>
      <w:pPr>
        <w:ind w:left="720"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A10F8D"/>
    <w:multiLevelType w:val="multilevel"/>
    <w:tmpl w:val="EDE282C0"/>
    <w:lvl w:ilvl="0">
      <w:start w:val="1"/>
      <w:numFmt w:val="lowerLetter"/>
      <w:lvlText w:val="%1."/>
      <w:lvlJc w:val="left"/>
      <w:pPr>
        <w:ind w:left="576" w:hanging="288"/>
      </w:pPr>
      <w:rPr>
        <w:rFonts w:hint="default"/>
      </w:rPr>
    </w:lvl>
    <w:lvl w:ilvl="1">
      <w:start w:val="1"/>
      <w:numFmt w:val="lowerRoman"/>
      <w:lvlText w:val="%2."/>
      <w:lvlJc w:val="left"/>
      <w:pPr>
        <w:ind w:left="1008" w:hanging="288"/>
      </w:pPr>
      <w:rPr>
        <w:rFonts w:hint="default"/>
      </w:rPr>
    </w:lvl>
    <w:lvl w:ilvl="2">
      <w:start w:val="1"/>
      <w:numFmt w:val="lowerRoman"/>
      <w:lvlText w:val="%3)"/>
      <w:lvlJc w:val="left"/>
      <w:pPr>
        <w:ind w:left="576" w:hanging="288"/>
      </w:pPr>
      <w:rPr>
        <w:rFonts w:hint="default"/>
      </w:rPr>
    </w:lvl>
    <w:lvl w:ilvl="3">
      <w:start w:val="1"/>
      <w:numFmt w:val="lowerLetter"/>
      <w:lvlText w:val="%4."/>
      <w:lvlJc w:val="left"/>
      <w:pPr>
        <w:ind w:left="504" w:hanging="288"/>
      </w:pPr>
      <w:rPr>
        <w:rFonts w:hint="default"/>
        <w:b/>
      </w:rPr>
    </w:lvl>
    <w:lvl w:ilvl="4">
      <w:start w:val="1"/>
      <w:numFmt w:val="upperRoman"/>
      <w:lvlText w:val="%5."/>
      <w:lvlJc w:val="right"/>
      <w:pPr>
        <w:ind w:left="432" w:hanging="288"/>
      </w:pPr>
      <w:rPr>
        <w:rFonts w:hint="default"/>
      </w:rPr>
    </w:lvl>
    <w:lvl w:ilvl="5">
      <w:start w:val="1"/>
      <w:numFmt w:val="lowerRoman"/>
      <w:lvlText w:val="(%6)"/>
      <w:lvlJc w:val="left"/>
      <w:pPr>
        <w:ind w:left="360"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16" w:hanging="288"/>
      </w:pPr>
      <w:rPr>
        <w:rFonts w:hint="default"/>
      </w:rPr>
    </w:lvl>
    <w:lvl w:ilvl="8">
      <w:start w:val="1"/>
      <w:numFmt w:val="lowerRoman"/>
      <w:lvlText w:val="%9."/>
      <w:lvlJc w:val="left"/>
      <w:pPr>
        <w:ind w:left="144" w:hanging="288"/>
      </w:pPr>
      <w:rPr>
        <w:rFonts w:hint="default"/>
      </w:rPr>
    </w:lvl>
  </w:abstractNum>
  <w:abstractNum w:abstractNumId="5" w15:restartNumberingAfterBreak="0">
    <w:nsid w:val="44EE192D"/>
    <w:multiLevelType w:val="hybridMultilevel"/>
    <w:tmpl w:val="61FC9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E1360"/>
    <w:multiLevelType w:val="hybridMultilevel"/>
    <w:tmpl w:val="DA94ED1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600" w:hanging="360"/>
      </w:pPr>
      <w:rPr>
        <w:rFonts w:ascii="Wingdings" w:hAnsi="Wingdings" w:hint="default"/>
      </w:rPr>
    </w:lvl>
  </w:abstractNum>
  <w:abstractNum w:abstractNumId="7" w15:restartNumberingAfterBreak="0">
    <w:nsid w:val="77721DB2"/>
    <w:multiLevelType w:val="multilevel"/>
    <w:tmpl w:val="EDE282C0"/>
    <w:lvl w:ilvl="0">
      <w:start w:val="1"/>
      <w:numFmt w:val="lowerLetter"/>
      <w:lvlText w:val="%1."/>
      <w:lvlJc w:val="left"/>
      <w:pPr>
        <w:ind w:left="576" w:hanging="288"/>
      </w:pPr>
      <w:rPr>
        <w:rFonts w:hint="default"/>
      </w:rPr>
    </w:lvl>
    <w:lvl w:ilvl="1">
      <w:start w:val="1"/>
      <w:numFmt w:val="lowerRoman"/>
      <w:lvlText w:val="%2."/>
      <w:lvlJc w:val="left"/>
      <w:pPr>
        <w:ind w:left="1008" w:hanging="288"/>
      </w:pPr>
      <w:rPr>
        <w:rFonts w:hint="default"/>
      </w:rPr>
    </w:lvl>
    <w:lvl w:ilvl="2">
      <w:start w:val="1"/>
      <w:numFmt w:val="lowerRoman"/>
      <w:lvlText w:val="%3)"/>
      <w:lvlJc w:val="left"/>
      <w:pPr>
        <w:ind w:left="576" w:hanging="288"/>
      </w:pPr>
      <w:rPr>
        <w:rFonts w:hint="default"/>
      </w:rPr>
    </w:lvl>
    <w:lvl w:ilvl="3">
      <w:start w:val="1"/>
      <w:numFmt w:val="lowerLetter"/>
      <w:lvlText w:val="%4."/>
      <w:lvlJc w:val="left"/>
      <w:pPr>
        <w:ind w:left="504" w:hanging="288"/>
      </w:pPr>
      <w:rPr>
        <w:rFonts w:hint="default"/>
        <w:b/>
      </w:rPr>
    </w:lvl>
    <w:lvl w:ilvl="4">
      <w:start w:val="1"/>
      <w:numFmt w:val="upperRoman"/>
      <w:lvlText w:val="%5."/>
      <w:lvlJc w:val="right"/>
      <w:pPr>
        <w:ind w:left="432" w:hanging="288"/>
      </w:pPr>
      <w:rPr>
        <w:rFonts w:hint="default"/>
      </w:rPr>
    </w:lvl>
    <w:lvl w:ilvl="5">
      <w:start w:val="1"/>
      <w:numFmt w:val="lowerRoman"/>
      <w:lvlText w:val="(%6)"/>
      <w:lvlJc w:val="left"/>
      <w:pPr>
        <w:ind w:left="360"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16" w:hanging="288"/>
      </w:pPr>
      <w:rPr>
        <w:rFonts w:hint="default"/>
      </w:rPr>
    </w:lvl>
    <w:lvl w:ilvl="8">
      <w:start w:val="1"/>
      <w:numFmt w:val="lowerRoman"/>
      <w:lvlText w:val="%9."/>
      <w:lvlJc w:val="left"/>
      <w:pPr>
        <w:ind w:left="144" w:hanging="288"/>
      </w:pPr>
      <w:rPr>
        <w:rFonts w:hint="default"/>
      </w:rPr>
    </w:lvl>
  </w:abstractNum>
  <w:num w:numId="1">
    <w:abstractNumId w:val="4"/>
  </w:num>
  <w:num w:numId="2">
    <w:abstractNumId w:val="1"/>
  </w:num>
  <w:num w:numId="3">
    <w:abstractNumId w:val="2"/>
  </w:num>
  <w:num w:numId="4">
    <w:abstractNumId w:val="7"/>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3F"/>
    <w:rsid w:val="000F3C45"/>
    <w:rsid w:val="00234BED"/>
    <w:rsid w:val="002A7285"/>
    <w:rsid w:val="002E528C"/>
    <w:rsid w:val="002F44F3"/>
    <w:rsid w:val="005906D7"/>
    <w:rsid w:val="005E3064"/>
    <w:rsid w:val="007740D9"/>
    <w:rsid w:val="00800B3B"/>
    <w:rsid w:val="008D7DD7"/>
    <w:rsid w:val="008F1999"/>
    <w:rsid w:val="00A05997"/>
    <w:rsid w:val="00A36542"/>
    <w:rsid w:val="00AE25E7"/>
    <w:rsid w:val="00D41C3F"/>
    <w:rsid w:val="00DA66A4"/>
    <w:rsid w:val="00E80C3F"/>
    <w:rsid w:val="00F24E42"/>
    <w:rsid w:val="00F369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CEA704"/>
  <w15:docId w15:val="{957F7CFA-F549-4323-8930-4001FD1A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0C3F"/>
    <w:pPr>
      <w:keepNext/>
      <w:spacing w:before="240" w:after="60" w:line="240" w:lineRule="auto"/>
      <w:outlineLvl w:val="0"/>
    </w:pPr>
    <w:rPr>
      <w:rFonts w:ascii="Arial" w:eastAsia="Times New Roman" w:hAnsi="Arial" w:cs="Times New Roman"/>
      <w:b/>
      <w:kern w:val="28"/>
      <w:sz w:val="28"/>
      <w:szCs w:val="20"/>
      <w:lang w:eastAsia="en-US"/>
    </w:rPr>
  </w:style>
  <w:style w:type="paragraph" w:styleId="Heading2">
    <w:name w:val="heading 2"/>
    <w:basedOn w:val="Normal"/>
    <w:next w:val="Normal"/>
    <w:link w:val="Heading2Char"/>
    <w:uiPriority w:val="9"/>
    <w:semiHidden/>
    <w:unhideWhenUsed/>
    <w:qFormat/>
    <w:rsid w:val="00E80C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C3F"/>
    <w:rPr>
      <w:rFonts w:ascii="Arial" w:eastAsia="Times New Roman" w:hAnsi="Arial" w:cs="Times New Roman"/>
      <w:b/>
      <w:kern w:val="28"/>
      <w:sz w:val="28"/>
      <w:szCs w:val="20"/>
      <w:lang w:eastAsia="en-US"/>
    </w:rPr>
  </w:style>
  <w:style w:type="character" w:customStyle="1" w:styleId="Heading2Char">
    <w:name w:val="Heading 2 Char"/>
    <w:basedOn w:val="DefaultParagraphFont"/>
    <w:link w:val="Heading2"/>
    <w:uiPriority w:val="9"/>
    <w:semiHidden/>
    <w:rsid w:val="00E80C3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80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3F"/>
  </w:style>
  <w:style w:type="paragraph" w:styleId="Footer">
    <w:name w:val="footer"/>
    <w:basedOn w:val="Normal"/>
    <w:link w:val="FooterChar"/>
    <w:uiPriority w:val="99"/>
    <w:unhideWhenUsed/>
    <w:rsid w:val="00E80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3F"/>
  </w:style>
  <w:style w:type="paragraph" w:styleId="ListParagraph">
    <w:name w:val="List Paragraph"/>
    <w:basedOn w:val="Normal"/>
    <w:link w:val="ListParagraphChar"/>
    <w:uiPriority w:val="34"/>
    <w:qFormat/>
    <w:rsid w:val="00800B3B"/>
    <w:pPr>
      <w:spacing w:after="0" w:line="240" w:lineRule="auto"/>
      <w:ind w:left="720"/>
      <w:contextualSpacing/>
    </w:pPr>
    <w:rPr>
      <w:rFonts w:eastAsiaTheme="minorHAnsi"/>
      <w:lang w:eastAsia="en-US"/>
    </w:rPr>
  </w:style>
  <w:style w:type="character" w:customStyle="1" w:styleId="ListParagraphChar">
    <w:name w:val="List Paragraph Char"/>
    <w:link w:val="ListParagraph"/>
    <w:uiPriority w:val="34"/>
    <w:locked/>
    <w:rsid w:val="00800B3B"/>
    <w:rPr>
      <w:rFonts w:eastAsiaTheme="minorHAnsi"/>
      <w:lang w:eastAsia="en-US"/>
    </w:rPr>
  </w:style>
  <w:style w:type="paragraph" w:styleId="NormalWeb">
    <w:name w:val="Normal (Web)"/>
    <w:basedOn w:val="Normal"/>
    <w:uiPriority w:val="99"/>
    <w:unhideWhenUsed/>
    <w:rsid w:val="00800B3B"/>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Hyperlink">
    <w:name w:val="Hyperlink"/>
    <w:basedOn w:val="DefaultParagraphFont"/>
    <w:uiPriority w:val="99"/>
    <w:unhideWhenUsed/>
    <w:rsid w:val="00DA6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KR Documents" ma:contentTypeID="0x0101001ED0D6E31470104DA80E348C1C57DC14006D0A8D4A3F2E94438CBAA8A3CB6765BB" ma:contentTypeVersion="30" ma:contentTypeDescription="Knowledge Repository Documents - Content Type" ma:contentTypeScope="" ma:versionID="fd061e33bd0a37feef73c8aedab87876">
  <xsd:schema xmlns:xsd="http://www.w3.org/2001/XMLSchema" xmlns:xs="http://www.w3.org/2001/XMLSchema" xmlns:p="http://schemas.microsoft.com/office/2006/metadata/properties" xmlns:ns2="fbc809fd-2c9b-440e-850c-b6791eaca885" xmlns:ns3="0095518e-671d-407a-a6a8-e84adfd1316e" targetNamespace="http://schemas.microsoft.com/office/2006/metadata/properties" ma:root="true" ma:fieldsID="e842919731a85a9e2d644c35d4b73486" ns2:_="" ns3:_="">
    <xsd:import namespace="fbc809fd-2c9b-440e-850c-b6791eaca885"/>
    <xsd:import namespace="0095518e-671d-407a-a6a8-e84adfd1316e"/>
    <xsd:element name="properties">
      <xsd:complexType>
        <xsd:sequence>
          <xsd:element name="documentManagement">
            <xsd:complexType>
              <xsd:all>
                <xsd:element ref="ns2:Date1" minOccurs="0"/>
                <xsd:element ref="ns2:Artifact_Description" minOccurs="0"/>
                <xsd:element ref="ns2:CollabProd" minOccurs="0"/>
                <xsd:element ref="ns2:Keyword" minOccurs="0"/>
                <xsd:element ref="ns2:Pre-Aut" minOccurs="0"/>
                <xsd:element ref="ns2:LegacyType" minOccurs="0"/>
                <xsd:element ref="ns2:f0b5e772bf9543fb85999bdd69af6bda" minOccurs="0"/>
                <xsd:element ref="ns2:_dlc_DocIdPersistId" minOccurs="0"/>
                <xsd:element ref="ns2:ffedd23734ce4e15856c77a361e29fee" minOccurs="0"/>
                <xsd:element ref="ns2:g555a33fb87948c88210dfb1ec8f46d9" minOccurs="0"/>
                <xsd:element ref="ns2:_dlc_DocId" minOccurs="0"/>
                <xsd:element ref="ns2:_dlc_DocIdUrl" minOccurs="0"/>
                <xsd:element ref="ns2:TaxCatchAll" minOccurs="0"/>
                <xsd:element ref="ns2:Pre-Aut_x003a_Full_x0020_Name" minOccurs="0"/>
                <xsd:element ref="ns2:TaxCatchAllLabel" minOccurs="0"/>
                <xsd:element ref="ns2:jabf9b0131914ad69c3ae8e8e890ceb1" minOccurs="0"/>
                <xsd:element ref="ns2:Desc" minOccurs="0"/>
                <xsd:element ref="ns3:_x0035_08_x0020_Compliant" minOccurs="0"/>
                <xsd:element ref="ns3:DemoProjec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809fd-2c9b-440e-850c-b6791eaca885" elementFormDefault="qualified">
    <xsd:import namespace="http://schemas.microsoft.com/office/2006/documentManagement/types"/>
    <xsd:import namespace="http://schemas.microsoft.com/office/infopath/2007/PartnerControls"/>
    <xsd:element name="Date1" ma:index="2" nillable="true" ma:displayName="Resource Date" ma:format="DateOnly" ma:indexed="true" ma:internalName="Date1">
      <xsd:simpleType>
        <xsd:restriction base="dms:DateTime"/>
      </xsd:simpleType>
    </xsd:element>
    <xsd:element name="Artifact_Description" ma:index="3" nillable="true" ma:displayName="Resource_Description" ma:internalName="Artifact_Description">
      <xsd:simpleType>
        <xsd:restriction base="dms:Text">
          <xsd:maxLength value="255"/>
        </xsd:restriction>
      </xsd:simpleType>
    </xsd:element>
    <xsd:element name="CollabProd" ma:index="4" nillable="true" ma:displayName="Collaboratory Product" ma:default="1" ma:indexed="true" ma:internalName="CollabProd">
      <xsd:simpleType>
        <xsd:restriction base="dms:Boolean"/>
      </xsd:simpleType>
    </xsd:element>
    <xsd:element name="Keyword" ma:index="8" nillable="true" ma:displayName="Keywords" ma:internalName="Keyword">
      <xsd:simpleType>
        <xsd:restriction base="dms:Text">
          <xsd:maxLength value="255"/>
        </xsd:restriction>
      </xsd:simpleType>
    </xsd:element>
    <xsd:element name="Pre-Aut" ma:index="10" nillable="true" ma:displayName="Presenter-Author" ma:list="{886d32d8-9a98-4b98-b737-e5c04486019c}" ma:internalName="Pre_x002d_Aut" ma:showField="FullName"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LegacyType" ma:index="11" nillable="true" ma:displayName="Legacy Type" ma:format="Dropdown" ma:indexed="true" ma:internalName="LegacyType">
      <xsd:simpleType>
        <xsd:restriction base="dms:Choice">
          <xsd:enumeration value="Stakeholder Interviews"/>
          <xsd:enumeration value="Collaboratory Products"/>
          <xsd:enumeration value="Grand Rounds"/>
          <xsd:enumeration value="External Resources"/>
          <xsd:enumeration value="Video"/>
        </xsd:restriction>
      </xsd:simpleType>
    </xsd:element>
    <xsd:element name="f0b5e772bf9543fb85999bdd69af6bda" ma:index="14" nillable="true" ma:taxonomy="true" ma:internalName="f0b5e772bf9543fb85999bdd69af6bda" ma:taxonomyFieldName="ArtifactType" ma:displayName="Resource Type" ma:indexed="true" ma:default="" ma:fieldId="{f0b5e772-bf95-43fb-8599-9bdd69af6bda}" ma:sspId="d51f2437-979e-4c38-8629-af7d19fdee54" ma:termSetId="00d4a743-619e-446a-baf6-369f8f94ef01" ma:anchorId="07224798-3904-471a-9666-5bad8e18a812"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ffedd23734ce4e15856c77a361e29fee" ma:index="16" nillable="true" ma:taxonomy="true" ma:internalName="ffedd23734ce4e15856c77a361e29fee" ma:taxonomyFieldName="CollabGroup" ma:displayName="Collaboratory Group" ma:default="" ma:fieldId="{ffedd237-34ce-4e15-856c-77a361e29fee}" ma:taxonomyMulti="true" ma:sspId="d51f2437-979e-4c38-8629-af7d19fdee54" ma:termSetId="00d4a743-619e-446a-baf6-369f8f94ef01" ma:anchorId="5e40de14-783b-4a96-bbd6-48a0f56f64c8" ma:open="false" ma:isKeyword="false">
      <xsd:complexType>
        <xsd:sequence>
          <xsd:element ref="pc:Terms" minOccurs="0" maxOccurs="1"/>
        </xsd:sequence>
      </xsd:complexType>
    </xsd:element>
    <xsd:element name="g555a33fb87948c88210dfb1ec8f46d9" ma:index="18" nillable="true" ma:taxonomy="true" ma:internalName="g555a33fb87948c88210dfb1ec8f46d9" ma:taxonomyFieldName="Topic" ma:displayName="Topic" ma:default="" ma:fieldId="{0555a33f-b879-48c8-8210-dfb1ec8f46d9}" ma:taxonomyMulti="true" ma:sspId="d51f2437-979e-4c38-8629-af7d19fdee54" ma:termSetId="00d4a743-619e-446a-baf6-369f8f94ef01" ma:anchorId="65bab3d3-6451-4bec-a224-a13a04d4a68e"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5" nillable="true" ma:displayName="Taxonomy Catch All Column" ma:hidden="true" ma:list="{5b033c89-4fa9-442e-9e4a-6b5605b0698e}" ma:internalName="TaxCatchAll" ma:showField="CatchAllData"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Pre-Aut_x003a_Full_x0020_Name" ma:index="26" nillable="true" ma:displayName="Presenter/Author" ma:list="{886d32d8-9a98-4b98-b737-e5c04486019c}" ma:internalName="Pre_x002d_Aut_x003A_Full_x0020_Name" ma:readOnly="true" ma:showField="FullName"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b033c89-4fa9-442e-9e4a-6b5605b0698e}" ma:internalName="TaxCatchAllLabel" ma:readOnly="true" ma:showField="CatchAllDataLabel" ma:web="fbc809fd-2c9b-440e-850c-b6791eaca885">
      <xsd:complexType>
        <xsd:complexContent>
          <xsd:extension base="dms:MultiChoiceLookup">
            <xsd:sequence>
              <xsd:element name="Value" type="dms:Lookup" maxOccurs="unbounded" minOccurs="0" nillable="true"/>
            </xsd:sequence>
          </xsd:extension>
        </xsd:complexContent>
      </xsd:complexType>
    </xsd:element>
    <xsd:element name="jabf9b0131914ad69c3ae8e8e890ceb1" ma:index="28" nillable="true" ma:taxonomy="true" ma:internalName="jabf9b0131914ad69c3ae8e8e890ceb1" ma:taxonomyFieldName="Affiliation" ma:displayName="Affiliation" ma:default="" ma:fieldId="{3abf9b01-3191-4ad6-9c3a-e8e8e890ceb1}" ma:taxonomyMulti="true" ma:sspId="d51f2437-979e-4c38-8629-af7d19fdee54" ma:termSetId="00d4a743-619e-446a-baf6-369f8f94ef01" ma:anchorId="7d203b94-7e02-4a93-919b-0c0ea0c66b93" ma:open="false" ma:isKeyword="false">
      <xsd:complexType>
        <xsd:sequence>
          <xsd:element ref="pc:Terms" minOccurs="0" maxOccurs="1"/>
        </xsd:sequence>
      </xsd:complexType>
    </xsd:element>
    <xsd:element name="Desc" ma:index="29" nillable="true" ma:displayName="Artifact Description" ma:hidden="true" ma:indexed="true" ma:internalName="Desc"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5518e-671d-407a-a6a8-e84adfd1316e" elementFormDefault="qualified">
    <xsd:import namespace="http://schemas.microsoft.com/office/2006/documentManagement/types"/>
    <xsd:import namespace="http://schemas.microsoft.com/office/infopath/2007/PartnerControls"/>
    <xsd:element name="_x0035_08_x0020_Compliant" ma:index="30" nillable="true" ma:displayName="508 Compliant" ma:format="Dropdown" ma:internalName="_x0035_08_x0020_Compliant">
      <xsd:simpleType>
        <xsd:restriction base="dms:Choice">
          <xsd:enumeration value="Yes"/>
          <xsd:enumeration value="No"/>
        </xsd:restriction>
      </xsd:simpleType>
    </xsd:element>
    <xsd:element name="DemoProjects" ma:index="32" nillable="true" ma:displayName="NIH Collaboratory Trials" ma:default="0" ma:indexed="true" ma:internalName="DemoProject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 xmlns="fbc809fd-2c9b-440e-850c-b6791eaca885" xsi:nil="true"/>
    <CollabProd xmlns="fbc809fd-2c9b-440e-850c-b6791eaca885">true</CollabProd>
    <g555a33fb87948c88210dfb1ec8f46d9 xmlns="fbc809fd-2c9b-440e-850c-b6791eaca885">
      <Terms xmlns="http://schemas.microsoft.com/office/infopath/2007/PartnerControls"/>
    </g555a33fb87948c88210dfb1ec8f46d9>
    <f0b5e772bf9543fb85999bdd69af6bda xmlns="fbc809fd-2c9b-440e-850c-b6791eaca8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d32ffe72-ec7f-4261-8fd1-55ed5b35b254</TermId>
        </TermInfo>
      </Terms>
    </f0b5e772bf9543fb85999bdd69af6bda>
    <ffedd23734ce4e15856c77a361e29fee xmlns="fbc809fd-2c9b-440e-850c-b6791eaca885">
      <Terms xmlns="http://schemas.microsoft.com/office/infopath/2007/PartnerControls">
        <TermInfo xmlns="http://schemas.microsoft.com/office/infopath/2007/PartnerControls">
          <TermName xmlns="http://schemas.microsoft.com/office/infopath/2007/PartnerControls">PRIM-ER: Primary Palliative Care for Emergency Medicine</TermName>
          <TermId xmlns="http://schemas.microsoft.com/office/infopath/2007/PartnerControls">f104ff7a-efee-40b3-8014-d4a3dcc0903a</TermId>
        </TermInfo>
      </Terms>
    </ffedd23734ce4e15856c77a361e29fee>
    <Date1 xmlns="fbc809fd-2c9b-440e-850c-b6791eaca885">2025-10-09T04:00:00+00:00</Date1>
    <LegacyType xmlns="fbc809fd-2c9b-440e-850c-b6791eaca885" xsi:nil="true"/>
    <Artifact_Description xmlns="fbc809fd-2c9b-440e-850c-b6791eaca885">PRIM-ER Authorship Guidelines</Artifact_Description>
    <TaxCatchAll xmlns="fbc809fd-2c9b-440e-850c-b6791eaca885">
      <Value>506</Value>
      <Value>208</Value>
    </TaxCatchAll>
    <DemoProjects xmlns="0095518e-671d-407a-a6a8-e84adfd1316e">true</DemoProjects>
    <Pre-Aut xmlns="fbc809fd-2c9b-440e-850c-b6791eaca885"/>
    <jabf9b0131914ad69c3ae8e8e890ceb1 xmlns="fbc809fd-2c9b-440e-850c-b6791eaca885">
      <Terms xmlns="http://schemas.microsoft.com/office/infopath/2007/PartnerControls"/>
    </jabf9b0131914ad69c3ae8e8e890ceb1>
    <_x0035_08_x0020_Compliant xmlns="0095518e-671d-407a-a6a8-e84adfd1316e" xsi:nil="true"/>
    <Desc xmlns="fbc809fd-2c9b-440e-850c-b6791eaca885" xsi:nil="true"/>
    <_dlc_DocId xmlns="fbc809fd-2c9b-440e-850c-b6791eaca885">3RDMQNRRHUKU-746054939-4413</_dlc_DocId>
    <_dlc_DocIdUrl xmlns="fbc809fd-2c9b-440e-850c-b6791eaca885">
      <Url>https://dcricollab.dcri.duke.edu/sites/NIHKR/_layouts/15/DocIdRedir.aspx?ID=3RDMQNRRHUKU-746054939-4413</Url>
      <Description>3RDMQNRRHUKU-746054939-4413</Description>
    </_dlc_DocIdUrl>
  </documentManagement>
</p:properties>
</file>

<file path=customXml/itemProps1.xml><?xml version="1.0" encoding="utf-8"?>
<ds:datastoreItem xmlns:ds="http://schemas.openxmlformats.org/officeDocument/2006/customXml" ds:itemID="{2899C2A1-C41E-42DF-AE0A-2F9306F4256E}">
  <ds:schemaRefs>
    <ds:schemaRef ds:uri="http://schemas.openxmlformats.org/officeDocument/2006/bibliography"/>
  </ds:schemaRefs>
</ds:datastoreItem>
</file>

<file path=customXml/itemProps2.xml><?xml version="1.0" encoding="utf-8"?>
<ds:datastoreItem xmlns:ds="http://schemas.openxmlformats.org/officeDocument/2006/customXml" ds:itemID="{D7109A9A-0F53-4A40-A781-52C1408E4143}"/>
</file>

<file path=customXml/itemProps3.xml><?xml version="1.0" encoding="utf-8"?>
<ds:datastoreItem xmlns:ds="http://schemas.openxmlformats.org/officeDocument/2006/customXml" ds:itemID="{6C161F1D-81A3-4825-A002-156D886A203D}"/>
</file>

<file path=customXml/itemProps4.xml><?xml version="1.0" encoding="utf-8"?>
<ds:datastoreItem xmlns:ds="http://schemas.openxmlformats.org/officeDocument/2006/customXml" ds:itemID="{9B001396-5DBB-4AB3-BDF8-BBF2FAF059D4}"/>
</file>

<file path=customXml/itemProps5.xml><?xml version="1.0" encoding="utf-8"?>
<ds:datastoreItem xmlns:ds="http://schemas.openxmlformats.org/officeDocument/2006/customXml" ds:itemID="{F600EBFF-E598-4BBB-9842-35B039277AA4}"/>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Authorship Guidelines</dc:title>
  <dc:creator>admin</dc:creator>
  <cp:lastModifiedBy>Rubin, Ada</cp:lastModifiedBy>
  <cp:revision>2</cp:revision>
  <cp:lastPrinted>2018-04-05T12:57:00Z</cp:lastPrinted>
  <dcterms:created xsi:type="dcterms:W3CDTF">2019-01-14T17:57:00Z</dcterms:created>
  <dcterms:modified xsi:type="dcterms:W3CDTF">2019-01-14T17:57:00Z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0x0101001ED0D6E31470104DA80E348C1C57DC14006D0A8D4A3F2E94438CBAA8A3CB6765BB</vt:lpwstr>
  </property>
  <property fmtid="{D5CDD505-2E9C-101B-9397-08002B2CF9AE}" pid="3" name="_dlc_DocIdItemGuid">
    <vt:lpwstr>0d8da985-3622-40bd-a265-f3f6cf7e2453</vt:lpwstr>
  </property>
  <property fmtid="{D5CDD505-2E9C-101B-9397-08002B2CF9AE}" pid="4" name="ArtifactType">
    <vt:lpwstr>506;#Other|d32ffe72-ec7f-4261-8fd1-55ed5b35b254</vt:lpwstr>
  </property>
  <property fmtid="{D5CDD505-2E9C-101B-9397-08002B2CF9AE}" pid="5" name="Topic">
    <vt:lpwstr/>
  </property>
  <property fmtid="{D5CDD505-2E9C-101B-9397-08002B2CF9AE}" pid="6" name="Affiliation">
    <vt:lpwstr/>
  </property>
  <property fmtid="{D5CDD505-2E9C-101B-9397-08002B2CF9AE}" pid="7" name="CollabGroup">
    <vt:lpwstr>208;#PRIM-ER: Primary Palliative Care for Emergency Medicine|f104ff7a-efee-40b3-8014-d4a3dcc0903a</vt:lpwstr>
  </property>
</Properties>
</file>